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3A1" w:rsidRDefault="003553A1" w:rsidP="003553A1">
      <w:pPr>
        <w:spacing w:after="0"/>
        <w:jc w:val="center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</w:p>
    <w:p w:rsidR="003553A1" w:rsidRPr="00D22C0F" w:rsidRDefault="003553A1" w:rsidP="003553A1">
      <w:pPr>
        <w:spacing w:after="0"/>
        <w:jc w:val="center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r w:rsidRPr="00D22C0F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Документы, необходимые для рассмотрения вопроса о предоставлении продуктов</w:t>
      </w:r>
      <w:r w:rsidRPr="00D22C0F">
        <w:rPr>
          <w:rStyle w:val="a6"/>
          <w:rFonts w:ascii="Times New Roman" w:eastAsiaTheme="minorHAnsi" w:hAnsi="Times New Roman" w:cs="Times New Roman"/>
          <w:b/>
          <w:sz w:val="23"/>
          <w:szCs w:val="23"/>
          <w:lang w:eastAsia="en-US"/>
        </w:rPr>
        <w:footnoteReference w:id="1"/>
      </w:r>
      <w:r w:rsidRPr="00D22C0F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:</w:t>
      </w:r>
    </w:p>
    <w:p w:rsidR="003553A1" w:rsidRPr="00D22C0F" w:rsidRDefault="003553A1" w:rsidP="003553A1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r w:rsidRPr="00D22C0F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«МСБ: Кредит на исполнение контракта без залога», «МСБ: Кредит на исполнение контракта с залогом», «МСБ: Независимая (Банковская) гарантия без залога», «МСБ: Независимая (Банковская) гарантия с залогом»</w:t>
      </w:r>
      <w:r w:rsidRPr="00803298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, «МСБ: Кредит на пополнение оборотных средств до 30 млн.</w:t>
      </w:r>
      <w:r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 xml:space="preserve"> рублей</w:t>
      </w:r>
      <w:r w:rsidRPr="00803298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»</w:t>
      </w:r>
      <w:r w:rsidRPr="00D22C0F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.</w:t>
      </w:r>
    </w:p>
    <w:p w:rsidR="003553A1" w:rsidRPr="00D22C0F" w:rsidRDefault="003553A1" w:rsidP="003553A1">
      <w:pPr>
        <w:pStyle w:val="a3"/>
        <w:numPr>
          <w:ilvl w:val="2"/>
          <w:numId w:val="4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0" w:name="_Hlk111101839"/>
      <w:r w:rsidRPr="00D22C0F">
        <w:rPr>
          <w:rFonts w:ascii="Times New Roman" w:eastAsia="Calibri" w:hAnsi="Times New Roman" w:cs="Times New Roman"/>
          <w:sz w:val="23"/>
          <w:szCs w:val="23"/>
        </w:rPr>
        <w:t>Заявка на Кредит/Гарантию (по форме Банка).</w:t>
      </w:r>
    </w:p>
    <w:p w:rsidR="003553A1" w:rsidRPr="00D22C0F" w:rsidRDefault="003553A1" w:rsidP="003553A1">
      <w:pPr>
        <w:pStyle w:val="a3"/>
        <w:numPr>
          <w:ilvl w:val="2"/>
          <w:numId w:val="4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ТЭО финансируемых</w:t>
      </w:r>
      <w:r>
        <w:rPr>
          <w:rFonts w:ascii="Times New Roman" w:eastAsia="Calibri" w:hAnsi="Times New Roman" w:cs="Times New Roman"/>
          <w:sz w:val="23"/>
          <w:szCs w:val="23"/>
        </w:rPr>
        <w:t>/гарантируемых</w:t>
      </w:r>
      <w:r w:rsidRPr="00D22C0F">
        <w:rPr>
          <w:rFonts w:ascii="Times New Roman" w:eastAsia="Calibri" w:hAnsi="Times New Roman" w:cs="Times New Roman"/>
          <w:sz w:val="23"/>
          <w:szCs w:val="23"/>
        </w:rPr>
        <w:t xml:space="preserve"> контрактов (по форме Банка)</w:t>
      </w:r>
      <w:r>
        <w:rPr>
          <w:rStyle w:val="a6"/>
          <w:rFonts w:ascii="Times New Roman" w:eastAsia="Calibri" w:hAnsi="Times New Roman" w:cs="Times New Roman"/>
          <w:sz w:val="23"/>
          <w:szCs w:val="23"/>
        </w:rPr>
        <w:footnoteReference w:id="2"/>
      </w:r>
      <w:r w:rsidRPr="00D22C0F">
        <w:rPr>
          <w:rFonts w:ascii="Times New Roman" w:eastAsia="Calibri" w:hAnsi="Times New Roman" w:cs="Times New Roman"/>
          <w:sz w:val="23"/>
          <w:szCs w:val="23"/>
        </w:rPr>
        <w:t>.</w:t>
      </w:r>
    </w:p>
    <w:p w:rsidR="003553A1" w:rsidRPr="00D22C0F" w:rsidRDefault="003553A1" w:rsidP="003553A1">
      <w:pPr>
        <w:pStyle w:val="a3"/>
        <w:numPr>
          <w:ilvl w:val="2"/>
          <w:numId w:val="4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Анкета заемщика / Анкета Принципала (по форме Банка).</w:t>
      </w:r>
    </w:p>
    <w:p w:rsidR="003553A1" w:rsidRPr="00D22C0F" w:rsidRDefault="003553A1" w:rsidP="003553A1">
      <w:pPr>
        <w:pStyle w:val="a3"/>
        <w:numPr>
          <w:ilvl w:val="2"/>
          <w:numId w:val="4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Анкета учредителя/поручителя (по форме Банка).</w:t>
      </w:r>
      <w:bookmarkStart w:id="1" w:name="_GoBack"/>
      <w:bookmarkEnd w:id="1"/>
    </w:p>
    <w:p w:rsidR="003553A1" w:rsidRPr="00D22C0F" w:rsidRDefault="003553A1" w:rsidP="003553A1">
      <w:pPr>
        <w:pStyle w:val="a3"/>
        <w:numPr>
          <w:ilvl w:val="2"/>
          <w:numId w:val="4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Аналитическая записка, содержащая в себе краткую историю развития компании, характеристику рынка и занимаемую компанией долю в нем, описание вида деятельности и перспективы развития компании.</w:t>
      </w:r>
    </w:p>
    <w:p w:rsidR="003553A1" w:rsidRPr="00D22C0F" w:rsidRDefault="003553A1" w:rsidP="003553A1">
      <w:pPr>
        <w:pStyle w:val="a3"/>
        <w:numPr>
          <w:ilvl w:val="2"/>
          <w:numId w:val="4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22C0F">
        <w:rPr>
          <w:rFonts w:ascii="Times New Roman" w:eastAsia="Calibri" w:hAnsi="Times New Roman" w:cs="Times New Roman"/>
          <w:b/>
          <w:sz w:val="23"/>
          <w:szCs w:val="23"/>
        </w:rPr>
        <w:t>Справки из налоговой инспекции:</w:t>
      </w:r>
    </w:p>
    <w:p w:rsidR="003553A1" w:rsidRPr="00D22C0F" w:rsidRDefault="003553A1" w:rsidP="003553A1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об открытых счетах в банках;</w:t>
      </w:r>
    </w:p>
    <w:p w:rsidR="003553A1" w:rsidRPr="00D22C0F" w:rsidRDefault="003553A1" w:rsidP="003553A1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справка о состоянии расчетов по налогам, сборам, пеням и штрафам (сроком давности не более 30 дней до момента подачи заявки).</w:t>
      </w:r>
    </w:p>
    <w:p w:rsidR="003553A1" w:rsidRPr="00D22C0F" w:rsidRDefault="003553A1" w:rsidP="003553A1">
      <w:pPr>
        <w:pStyle w:val="a3"/>
        <w:numPr>
          <w:ilvl w:val="2"/>
          <w:numId w:val="4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22C0F">
        <w:rPr>
          <w:rFonts w:ascii="Times New Roman" w:eastAsia="Calibri" w:hAnsi="Times New Roman" w:cs="Times New Roman"/>
          <w:b/>
          <w:sz w:val="23"/>
          <w:szCs w:val="23"/>
        </w:rPr>
        <w:t>Справки/выписки из обслуживающих банков (кроме АО АКБ «НОВИКОМБАНК»), сроком давности не более 30 дней до момента подачи заявки:</w:t>
      </w:r>
    </w:p>
    <w:p w:rsidR="003553A1" w:rsidRPr="00D22C0F" w:rsidRDefault="003553A1" w:rsidP="003553A1">
      <w:pPr>
        <w:pStyle w:val="a3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об оборотах по счетам клиента (в рублях и валюте) за последний календарный год (в разбивке по месяцам);</w:t>
      </w:r>
    </w:p>
    <w:p w:rsidR="003553A1" w:rsidRPr="00D22C0F" w:rsidRDefault="003553A1" w:rsidP="003553A1">
      <w:pPr>
        <w:pStyle w:val="a3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о наличии/отсутствии картотеки К-2 к счетам;</w:t>
      </w:r>
    </w:p>
    <w:p w:rsidR="003553A1" w:rsidRPr="00D22C0F" w:rsidRDefault="003553A1" w:rsidP="003553A1">
      <w:pPr>
        <w:pStyle w:val="a3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 xml:space="preserve">об отсутствии, или наличии </w:t>
      </w:r>
      <w:r w:rsidRPr="001F2B68">
        <w:rPr>
          <w:rFonts w:ascii="Times New Roman" w:eastAsia="Calibri" w:hAnsi="Times New Roman" w:cs="Times New Roman"/>
          <w:sz w:val="23"/>
          <w:szCs w:val="23"/>
        </w:rPr>
        <w:t xml:space="preserve">ссудной задолженности </w:t>
      </w:r>
      <w:r w:rsidRPr="001F2B68">
        <w:rPr>
          <w:rFonts w:ascii="Times New Roman" w:hAnsi="Times New Roman" w:cs="Times New Roman"/>
          <w:sz w:val="23"/>
          <w:szCs w:val="23"/>
          <w:lang w:eastAsia="en-US"/>
        </w:rPr>
        <w:t>и качестве кредитной истории</w:t>
      </w:r>
      <w:r>
        <w:rPr>
          <w:rStyle w:val="a6"/>
          <w:sz w:val="27"/>
          <w:szCs w:val="27"/>
          <w:lang w:eastAsia="en-US"/>
        </w:rPr>
        <w:footnoteReference w:id="3"/>
      </w:r>
      <w:r w:rsidRPr="00D22C0F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D22C0F">
        <w:rPr>
          <w:rFonts w:ascii="Times New Roman" w:hAnsi="Times New Roman" w:cs="Times New Roman"/>
          <w:sz w:val="23"/>
          <w:szCs w:val="23"/>
        </w:rPr>
        <w:t>выданных банковских гарантиях и др. продуктах (факторинг, лизинг)</w:t>
      </w:r>
      <w:r w:rsidRPr="00D22C0F">
        <w:rPr>
          <w:rFonts w:ascii="Times New Roman" w:eastAsia="Calibri" w:hAnsi="Times New Roman" w:cs="Times New Roman"/>
          <w:sz w:val="23"/>
          <w:szCs w:val="23"/>
        </w:rPr>
        <w:t>.</w:t>
      </w:r>
    </w:p>
    <w:p w:rsidR="003553A1" w:rsidRPr="00D22C0F" w:rsidRDefault="003553A1" w:rsidP="003553A1">
      <w:pPr>
        <w:pStyle w:val="a3"/>
        <w:numPr>
          <w:ilvl w:val="2"/>
          <w:numId w:val="4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22C0F">
        <w:rPr>
          <w:rFonts w:ascii="Times New Roman" w:eastAsia="Calibri" w:hAnsi="Times New Roman" w:cs="Times New Roman"/>
          <w:b/>
          <w:sz w:val="23"/>
          <w:szCs w:val="23"/>
        </w:rPr>
        <w:t>Справки/расшифровки от организации:</w:t>
      </w:r>
    </w:p>
    <w:p w:rsidR="003553A1" w:rsidRPr="00D22C0F" w:rsidRDefault="003553A1" w:rsidP="003553A1">
      <w:pPr>
        <w:pStyle w:val="a3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справка о финансовом положении организации по состоянию на текущую дату (по форме Банка);</w:t>
      </w:r>
    </w:p>
    <w:p w:rsidR="003553A1" w:rsidRPr="00D22C0F" w:rsidRDefault="003553A1" w:rsidP="003553A1">
      <w:pPr>
        <w:pStyle w:val="a3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расшифровка долгосрочных/краткосрочных кредитов и займов по состоянию на отчетную и/или текущую дату (по форме банка);</w:t>
      </w:r>
    </w:p>
    <w:p w:rsidR="003553A1" w:rsidRPr="00D22C0F" w:rsidRDefault="003553A1" w:rsidP="003553A1">
      <w:pPr>
        <w:pStyle w:val="a3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hAnsi="Times New Roman" w:cs="Times New Roman"/>
          <w:color w:val="000000"/>
          <w:sz w:val="23"/>
          <w:szCs w:val="23"/>
        </w:rPr>
        <w:t xml:space="preserve">расшифровка статьи «краткосрочные (долгосрочные) финансовые вложения» </w:t>
      </w:r>
      <w:r w:rsidRPr="00D22C0F">
        <w:rPr>
          <w:rFonts w:ascii="Times New Roman" w:eastAsia="Calibri" w:hAnsi="Times New Roman" w:cs="Times New Roman"/>
          <w:sz w:val="23"/>
          <w:szCs w:val="23"/>
        </w:rPr>
        <w:t>по состоянию по состоянию на отчетную и/или текущую дату (по форме банка);</w:t>
      </w:r>
    </w:p>
    <w:p w:rsidR="003553A1" w:rsidRPr="00D22C0F" w:rsidRDefault="003553A1" w:rsidP="003553A1">
      <w:pPr>
        <w:pStyle w:val="a3"/>
        <w:numPr>
          <w:ilvl w:val="0"/>
          <w:numId w:val="2"/>
        </w:numPr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расшифровка кредиторской и дебиторской задолженности по состоянию на отчетную и/или текущую дату, с указанием наименований должников/ИНН, кредиторов/ИНН, суммы и дат возникновения и погашения задолженности, с указанием статуса данной задолженности (просроченная до 3</w:t>
      </w:r>
      <w:r>
        <w:rPr>
          <w:rFonts w:ascii="Times New Roman" w:eastAsia="Calibri" w:hAnsi="Times New Roman" w:cs="Times New Roman"/>
          <w:sz w:val="23"/>
          <w:szCs w:val="23"/>
        </w:rPr>
        <w:t xml:space="preserve"> (трех)</w:t>
      </w:r>
      <w:r w:rsidRPr="00D22C0F">
        <w:rPr>
          <w:rFonts w:ascii="Times New Roman" w:eastAsia="Calibri" w:hAnsi="Times New Roman" w:cs="Times New Roman"/>
          <w:sz w:val="23"/>
          <w:szCs w:val="23"/>
        </w:rPr>
        <w:t xml:space="preserve"> месяцев включительно/просроченная свыше 3 </w:t>
      </w:r>
      <w:r>
        <w:rPr>
          <w:rFonts w:ascii="Times New Roman" w:eastAsia="Calibri" w:hAnsi="Times New Roman" w:cs="Times New Roman"/>
          <w:sz w:val="23"/>
          <w:szCs w:val="23"/>
        </w:rPr>
        <w:t xml:space="preserve">(трех) </w:t>
      </w:r>
      <w:r w:rsidRPr="00D22C0F">
        <w:rPr>
          <w:rFonts w:ascii="Times New Roman" w:eastAsia="Calibri" w:hAnsi="Times New Roman" w:cs="Times New Roman"/>
          <w:sz w:val="23"/>
          <w:szCs w:val="23"/>
        </w:rPr>
        <w:t>месяцев/текущая), величиной просроченной дебиторской и кредиторской задолженности;</w:t>
      </w:r>
    </w:p>
    <w:p w:rsidR="003553A1" w:rsidRPr="00D22C0F" w:rsidRDefault="003553A1" w:rsidP="003553A1">
      <w:pPr>
        <w:pStyle w:val="a3"/>
        <w:numPr>
          <w:ilvl w:val="0"/>
          <w:numId w:val="2"/>
        </w:numPr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расшифровка лизинговых обязательств по состоянию на отчетную и/или текущую дату (при наличии);</w:t>
      </w:r>
    </w:p>
    <w:p w:rsidR="003553A1" w:rsidRPr="00D22C0F" w:rsidRDefault="003553A1" w:rsidP="003553A1">
      <w:pPr>
        <w:pStyle w:val="a3"/>
        <w:numPr>
          <w:ilvl w:val="0"/>
          <w:numId w:val="2"/>
        </w:numPr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расшифровка забалансовых обязательств: полученных/выданных обеспечений, гарантий, поручительств, залогов по состоянию на текущую дату (при наличии).</w:t>
      </w:r>
    </w:p>
    <w:p w:rsidR="003553A1" w:rsidRPr="00D22C0F" w:rsidRDefault="003553A1" w:rsidP="003553A1">
      <w:pPr>
        <w:pStyle w:val="a3"/>
        <w:numPr>
          <w:ilvl w:val="2"/>
          <w:numId w:val="4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lastRenderedPageBreak/>
        <w:t>Формы бухгалтерской отчетности на 5 (</w:t>
      </w:r>
      <w:r>
        <w:rPr>
          <w:rFonts w:ascii="Times New Roman" w:eastAsia="Calibri" w:hAnsi="Times New Roman" w:cs="Times New Roman"/>
          <w:sz w:val="23"/>
          <w:szCs w:val="23"/>
        </w:rPr>
        <w:t>п</w:t>
      </w:r>
      <w:r w:rsidRPr="00D22C0F">
        <w:rPr>
          <w:rFonts w:ascii="Times New Roman" w:eastAsia="Calibri" w:hAnsi="Times New Roman" w:cs="Times New Roman"/>
          <w:sz w:val="23"/>
          <w:szCs w:val="23"/>
        </w:rPr>
        <w:t xml:space="preserve">ять) предшествующих отчетных дат, годовая отчетность за последний истекший год предоставляется с отметкой подразделения ФНС о принятии, либо с приложением документов, подтверждающих ее подачу в электронном виде (копии заверенные печатью и подписями руководителей), включающие: </w:t>
      </w:r>
    </w:p>
    <w:p w:rsidR="003553A1" w:rsidRPr="00D22C0F" w:rsidRDefault="003553A1" w:rsidP="003553A1">
      <w:pPr>
        <w:pStyle w:val="a3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бухгалтерский баланс (форма №1);</w:t>
      </w:r>
    </w:p>
    <w:p w:rsidR="003553A1" w:rsidRPr="00D22C0F" w:rsidRDefault="003553A1" w:rsidP="003553A1">
      <w:pPr>
        <w:pStyle w:val="a3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отчет о финансовых результатах (форма №2)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:rsidR="003553A1" w:rsidRPr="00D22C0F" w:rsidRDefault="003553A1" w:rsidP="003553A1">
      <w:pPr>
        <w:pStyle w:val="a3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Налоговая декларация по налогу на прибыль за последний завершенный квартал, или последний завершенный год (клиентам, применяющим упрощённую систему налогообложения), с отметкой подразделения ФНС о принятии, либо с приложением документов, подтверждающих ее подачу в ФНС в электронном виде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:rsidR="003553A1" w:rsidRPr="00D22C0F" w:rsidRDefault="003553A1" w:rsidP="003553A1">
      <w:pPr>
        <w:pStyle w:val="a3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hAnsi="Times New Roman" w:cs="Times New Roman"/>
          <w:sz w:val="23"/>
          <w:szCs w:val="23"/>
        </w:rPr>
        <w:t>Налоговая декларация по НДС за последний завершенный квартал, содержащую отметку налогового органа об их принятии (в том числе полученными в электронном виде)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3553A1" w:rsidRPr="00D22C0F" w:rsidRDefault="003553A1" w:rsidP="003553A1">
      <w:pPr>
        <w:pStyle w:val="a3"/>
        <w:numPr>
          <w:ilvl w:val="0"/>
          <w:numId w:val="2"/>
        </w:numPr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 xml:space="preserve">Оборотно-сальдовые ведомости по счетам бухгалтерского учета (в разрезе контрагентов и субсчетов) за последний завершенный год и истекший период отчетного года или за последние 12 </w:t>
      </w:r>
      <w:r>
        <w:rPr>
          <w:rFonts w:ascii="Times New Roman" w:eastAsia="Calibri" w:hAnsi="Times New Roman" w:cs="Times New Roman"/>
          <w:sz w:val="23"/>
          <w:szCs w:val="23"/>
        </w:rPr>
        <w:t xml:space="preserve">(двенадцать) </w:t>
      </w:r>
      <w:r w:rsidRPr="00D22C0F">
        <w:rPr>
          <w:rFonts w:ascii="Times New Roman" w:eastAsia="Calibri" w:hAnsi="Times New Roman" w:cs="Times New Roman"/>
          <w:sz w:val="23"/>
          <w:szCs w:val="23"/>
        </w:rPr>
        <w:t xml:space="preserve">месяцев (в формате </w:t>
      </w:r>
      <w:proofErr w:type="spellStart"/>
      <w:r w:rsidRPr="00D22C0F">
        <w:rPr>
          <w:rFonts w:ascii="Times New Roman" w:eastAsia="Calibri" w:hAnsi="Times New Roman" w:cs="Times New Roman"/>
          <w:sz w:val="23"/>
          <w:szCs w:val="23"/>
        </w:rPr>
        <w:t>Excel</w:t>
      </w:r>
      <w:proofErr w:type="spellEnd"/>
      <w:r w:rsidRPr="00D22C0F">
        <w:rPr>
          <w:rFonts w:ascii="Times New Roman" w:eastAsia="Calibri" w:hAnsi="Times New Roman" w:cs="Times New Roman"/>
          <w:sz w:val="23"/>
          <w:szCs w:val="23"/>
        </w:rPr>
        <w:t>): 10 (материалы), 41 (товары), 43 (готовая продукция), 58 (финансовые вложения), 60 (расчеты с поставщиками и подрядчиками), 62 (расчеты с покупателями и заказчиками),  63 (резервы по сомнительным долгам), 66, 67 (кредиты/займы полученные), 76 (расчеты с разными дебиторами и кредиторами)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:rsidR="003553A1" w:rsidRDefault="003553A1" w:rsidP="003553A1">
      <w:pPr>
        <w:pStyle w:val="a3"/>
        <w:numPr>
          <w:ilvl w:val="0"/>
          <w:numId w:val="2"/>
        </w:numPr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 xml:space="preserve">Общая </w:t>
      </w:r>
      <w:proofErr w:type="spellStart"/>
      <w:r w:rsidRPr="00D22C0F">
        <w:rPr>
          <w:rFonts w:ascii="Times New Roman" w:eastAsia="Calibri" w:hAnsi="Times New Roman" w:cs="Times New Roman"/>
          <w:sz w:val="23"/>
          <w:szCs w:val="23"/>
        </w:rPr>
        <w:t>оборотно</w:t>
      </w:r>
      <w:proofErr w:type="spellEnd"/>
      <w:r w:rsidRPr="00D22C0F">
        <w:rPr>
          <w:rFonts w:ascii="Times New Roman" w:eastAsia="Calibri" w:hAnsi="Times New Roman" w:cs="Times New Roman"/>
          <w:sz w:val="23"/>
          <w:szCs w:val="23"/>
        </w:rPr>
        <w:t xml:space="preserve">-сальдовая ведомость за последний завершенный год и истекший период отчетного года или за последние 12 месяцев </w:t>
      </w:r>
      <w:r>
        <w:rPr>
          <w:rFonts w:ascii="Times New Roman" w:eastAsia="Calibri" w:hAnsi="Times New Roman" w:cs="Times New Roman"/>
          <w:sz w:val="23"/>
          <w:szCs w:val="23"/>
        </w:rPr>
        <w:br/>
      </w:r>
      <w:r w:rsidRPr="00D22C0F">
        <w:rPr>
          <w:rFonts w:ascii="Times New Roman" w:eastAsia="Calibri" w:hAnsi="Times New Roman" w:cs="Times New Roman"/>
          <w:sz w:val="23"/>
          <w:szCs w:val="23"/>
        </w:rPr>
        <w:t xml:space="preserve">(в формате </w:t>
      </w:r>
      <w:proofErr w:type="spellStart"/>
      <w:r w:rsidRPr="00D22C0F">
        <w:rPr>
          <w:rFonts w:ascii="Times New Roman" w:eastAsia="Calibri" w:hAnsi="Times New Roman" w:cs="Times New Roman"/>
          <w:sz w:val="23"/>
          <w:szCs w:val="23"/>
        </w:rPr>
        <w:t>Excel</w:t>
      </w:r>
      <w:proofErr w:type="spellEnd"/>
      <w:r w:rsidRPr="00D22C0F">
        <w:rPr>
          <w:rFonts w:ascii="Times New Roman" w:eastAsia="Calibri" w:hAnsi="Times New Roman" w:cs="Times New Roman"/>
          <w:sz w:val="23"/>
          <w:szCs w:val="23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:rsidR="003553A1" w:rsidRPr="00D22C0F" w:rsidRDefault="003553A1" w:rsidP="003553A1">
      <w:pPr>
        <w:pStyle w:val="a3"/>
        <w:numPr>
          <w:ilvl w:val="0"/>
          <w:numId w:val="2"/>
        </w:numPr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Аналитический отчет из</w:t>
      </w:r>
      <w:r w:rsidRPr="00847A17">
        <w:rPr>
          <w:rFonts w:ascii="Times New Roman" w:eastAsia="Calibri" w:hAnsi="Times New Roman" w:cs="Times New Roman"/>
          <w:sz w:val="23"/>
          <w:szCs w:val="23"/>
        </w:rPr>
        <w:t xml:space="preserve"> 1С «Продажи по контрагентам»</w:t>
      </w:r>
      <w:r>
        <w:rPr>
          <w:rFonts w:ascii="Times New Roman" w:eastAsia="Calibri" w:hAnsi="Times New Roman" w:cs="Times New Roman"/>
          <w:sz w:val="23"/>
          <w:szCs w:val="23"/>
        </w:rPr>
        <w:t xml:space="preserve"> за последние 4 </w:t>
      </w:r>
      <w:r w:rsidRPr="00847A17">
        <w:rPr>
          <w:rFonts w:ascii="Times New Roman" w:eastAsia="Calibri" w:hAnsi="Times New Roman" w:cs="Times New Roman"/>
          <w:sz w:val="23"/>
          <w:szCs w:val="23"/>
        </w:rPr>
        <w:t>отчетные/промежуточные</w:t>
      </w:r>
      <w:r>
        <w:rPr>
          <w:rFonts w:ascii="Times New Roman" w:eastAsia="Calibri" w:hAnsi="Times New Roman" w:cs="Times New Roman"/>
          <w:sz w:val="23"/>
          <w:szCs w:val="23"/>
        </w:rPr>
        <w:t xml:space="preserve"> (квартальные)</w:t>
      </w:r>
      <w:r w:rsidRPr="00847A17">
        <w:rPr>
          <w:rFonts w:ascii="Times New Roman" w:eastAsia="Calibri" w:hAnsi="Times New Roman" w:cs="Times New Roman"/>
          <w:sz w:val="23"/>
          <w:szCs w:val="23"/>
        </w:rPr>
        <w:t xml:space="preserve"> даты</w:t>
      </w:r>
      <w:r>
        <w:rPr>
          <w:rFonts w:ascii="Times New Roman" w:eastAsia="Calibri" w:hAnsi="Times New Roman" w:cs="Times New Roman"/>
          <w:sz w:val="23"/>
          <w:szCs w:val="23"/>
        </w:rPr>
        <w:t>.</w:t>
      </w:r>
      <w:r>
        <w:rPr>
          <w:rStyle w:val="a6"/>
          <w:rFonts w:ascii="Times New Roman" w:eastAsia="Calibri" w:hAnsi="Times New Roman" w:cs="Times New Roman"/>
          <w:sz w:val="23"/>
          <w:szCs w:val="23"/>
        </w:rPr>
        <w:footnoteReference w:id="4"/>
      </w:r>
    </w:p>
    <w:p w:rsidR="003553A1" w:rsidRPr="00D22C0F" w:rsidRDefault="003553A1" w:rsidP="003553A1">
      <w:pPr>
        <w:pStyle w:val="a3"/>
        <w:numPr>
          <w:ilvl w:val="2"/>
          <w:numId w:val="4"/>
        </w:numPr>
        <w:spacing w:after="0" w:line="240" w:lineRule="auto"/>
        <w:ind w:left="1134" w:hanging="850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bookmarkStart w:id="2" w:name="_Hlk108773672"/>
      <w:r w:rsidRPr="00D22C0F">
        <w:rPr>
          <w:rFonts w:ascii="Times New Roman" w:eastAsia="Calibri" w:hAnsi="Times New Roman" w:cs="Times New Roman"/>
          <w:b/>
          <w:sz w:val="23"/>
          <w:szCs w:val="23"/>
        </w:rPr>
        <w:t>Реестр договоров/контрактов</w:t>
      </w:r>
      <w:bookmarkEnd w:id="2"/>
      <w:r w:rsidRPr="00D22C0F">
        <w:rPr>
          <w:rFonts w:ascii="Times New Roman" w:eastAsia="Calibri" w:hAnsi="Times New Roman" w:cs="Times New Roman"/>
          <w:b/>
          <w:sz w:val="23"/>
          <w:szCs w:val="23"/>
        </w:rPr>
        <w:t xml:space="preserve"> (по форме Банка)</w:t>
      </w:r>
      <w:r>
        <w:rPr>
          <w:rStyle w:val="a6"/>
          <w:rFonts w:ascii="Times New Roman" w:eastAsia="Calibri" w:hAnsi="Times New Roman" w:cs="Times New Roman"/>
          <w:b/>
          <w:sz w:val="23"/>
          <w:szCs w:val="23"/>
        </w:rPr>
        <w:footnoteReference w:id="5"/>
      </w:r>
      <w:r w:rsidRPr="00D22C0F">
        <w:rPr>
          <w:rFonts w:ascii="Times New Roman" w:eastAsia="Calibri" w:hAnsi="Times New Roman" w:cs="Times New Roman"/>
          <w:b/>
          <w:sz w:val="23"/>
          <w:szCs w:val="23"/>
        </w:rPr>
        <w:t>:</w:t>
      </w:r>
    </w:p>
    <w:p w:rsidR="003553A1" w:rsidRPr="00D22C0F" w:rsidRDefault="003553A1" w:rsidP="003553A1">
      <w:pPr>
        <w:pStyle w:val="a3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и</w:t>
      </w:r>
      <w:r w:rsidRPr="002C6544">
        <w:rPr>
          <w:rFonts w:ascii="Times New Roman" w:eastAsia="Calibri" w:hAnsi="Times New Roman" w:cs="Times New Roman"/>
          <w:sz w:val="23"/>
          <w:szCs w:val="23"/>
        </w:rPr>
        <w:t>сполненные (закрытые) контракты, заключенные с целевыми Бенефициарами/Заказчиками, утвержденными паспортом продуктов, а также в рамках 44-ФЗ, 223-ФЗ, 275-ФЗ за последние 24 мес</w:t>
      </w:r>
      <w:r w:rsidRPr="00D22C0F">
        <w:rPr>
          <w:rFonts w:ascii="Times New Roman" w:eastAsia="Calibri" w:hAnsi="Times New Roman" w:cs="Times New Roman"/>
          <w:sz w:val="23"/>
          <w:szCs w:val="23"/>
        </w:rPr>
        <w:t>.;</w:t>
      </w:r>
    </w:p>
    <w:p w:rsidR="003553A1" w:rsidRPr="00D22C0F" w:rsidRDefault="003553A1" w:rsidP="003553A1">
      <w:pPr>
        <w:pStyle w:val="a3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т</w:t>
      </w:r>
      <w:r w:rsidRPr="002C6544">
        <w:rPr>
          <w:rFonts w:ascii="Times New Roman" w:eastAsia="Calibri" w:hAnsi="Times New Roman" w:cs="Times New Roman"/>
          <w:sz w:val="23"/>
          <w:szCs w:val="23"/>
        </w:rPr>
        <w:t>екущие (Действующие) контракты, заключенные с целевыми Бенефициарами/Заказчиками, утвержденными паспортом продуктов, а также в рамках 44-ФЗ, 223-ФЗ, 275-ФЗ</w:t>
      </w:r>
      <w:r w:rsidRPr="00D22C0F">
        <w:rPr>
          <w:rFonts w:ascii="Times New Roman" w:eastAsia="Calibri" w:hAnsi="Times New Roman" w:cs="Times New Roman"/>
          <w:sz w:val="23"/>
          <w:szCs w:val="23"/>
        </w:rPr>
        <w:t xml:space="preserve">; </w:t>
      </w:r>
    </w:p>
    <w:p w:rsidR="003553A1" w:rsidRPr="00D22C0F" w:rsidRDefault="003553A1" w:rsidP="003553A1">
      <w:pPr>
        <w:pStyle w:val="a3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финансируемых/гарантируемых за счет кредитных средств Банка (действующие/планируемы</w:t>
      </w:r>
      <w:r>
        <w:rPr>
          <w:rFonts w:ascii="Times New Roman" w:eastAsia="Calibri" w:hAnsi="Times New Roman" w:cs="Times New Roman"/>
          <w:sz w:val="23"/>
          <w:szCs w:val="23"/>
        </w:rPr>
        <w:t>е</w:t>
      </w:r>
      <w:r w:rsidRPr="00D22C0F">
        <w:rPr>
          <w:rFonts w:ascii="Times New Roman" w:eastAsia="Calibri" w:hAnsi="Times New Roman" w:cs="Times New Roman"/>
          <w:sz w:val="23"/>
          <w:szCs w:val="23"/>
        </w:rPr>
        <w:t xml:space="preserve"> к заключению);</w:t>
      </w:r>
    </w:p>
    <w:p w:rsidR="003553A1" w:rsidRDefault="003553A1" w:rsidP="003553A1">
      <w:pPr>
        <w:pStyle w:val="a3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предоставление заверенной надлежащим образом копии договора/контракта (либо заверенной выписки из контракта в случае, если договор/контракт является секретным) – в отношении контракта, на исполнение которого выдается гарантия/кредит.</w:t>
      </w:r>
    </w:p>
    <w:p w:rsidR="003553A1" w:rsidRPr="00DC3889" w:rsidRDefault="003553A1" w:rsidP="003553A1">
      <w:pPr>
        <w:pStyle w:val="a3"/>
        <w:numPr>
          <w:ilvl w:val="2"/>
          <w:numId w:val="4"/>
        </w:numPr>
        <w:spacing w:after="0" w:line="240" w:lineRule="auto"/>
        <w:ind w:left="1134" w:hanging="85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4390A">
        <w:rPr>
          <w:rFonts w:ascii="Times New Roman" w:eastAsia="Calibri" w:hAnsi="Times New Roman" w:cs="Times New Roman"/>
          <w:b/>
          <w:sz w:val="23"/>
          <w:szCs w:val="23"/>
        </w:rPr>
        <w:t>Реестр действующих контрактов/договоров, заключенных по основному виду деятельности</w:t>
      </w:r>
      <w:r>
        <w:rPr>
          <w:rFonts w:ascii="Times New Roman" w:eastAsia="Calibri" w:hAnsi="Times New Roman" w:cs="Times New Roman"/>
          <w:sz w:val="23"/>
          <w:szCs w:val="23"/>
        </w:rPr>
        <w:t>.</w:t>
      </w:r>
      <w:r>
        <w:rPr>
          <w:rStyle w:val="a6"/>
          <w:rFonts w:ascii="Times New Roman" w:eastAsia="Calibri" w:hAnsi="Times New Roman" w:cs="Times New Roman"/>
          <w:sz w:val="23"/>
          <w:szCs w:val="23"/>
        </w:rPr>
        <w:footnoteReference w:id="6"/>
      </w:r>
    </w:p>
    <w:p w:rsidR="003553A1" w:rsidRPr="00D22C0F" w:rsidRDefault="003553A1" w:rsidP="003553A1">
      <w:pPr>
        <w:pStyle w:val="a3"/>
        <w:numPr>
          <w:ilvl w:val="2"/>
          <w:numId w:val="4"/>
        </w:numPr>
        <w:spacing w:after="0" w:line="240" w:lineRule="auto"/>
        <w:ind w:left="1134" w:hanging="850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22C0F">
        <w:rPr>
          <w:rFonts w:ascii="Times New Roman" w:eastAsia="Calibri" w:hAnsi="Times New Roman" w:cs="Times New Roman"/>
          <w:b/>
          <w:sz w:val="23"/>
          <w:szCs w:val="23"/>
        </w:rPr>
        <w:t>Документы, подтверждающие правоспособность юридического лица</w:t>
      </w:r>
      <w:r>
        <w:rPr>
          <w:rFonts w:ascii="Times New Roman" w:eastAsia="Calibri" w:hAnsi="Times New Roman" w:cs="Times New Roman"/>
          <w:b/>
          <w:sz w:val="23"/>
          <w:szCs w:val="23"/>
        </w:rPr>
        <w:t>/управляющей организации юридического лица (при наличии)</w:t>
      </w:r>
      <w:r w:rsidRPr="00D22C0F">
        <w:rPr>
          <w:rFonts w:ascii="Times New Roman" w:eastAsia="Calibri" w:hAnsi="Times New Roman" w:cs="Times New Roman"/>
          <w:b/>
          <w:sz w:val="23"/>
          <w:szCs w:val="23"/>
        </w:rPr>
        <w:t>:</w:t>
      </w:r>
    </w:p>
    <w:p w:rsidR="003553A1" w:rsidRPr="00D22C0F" w:rsidRDefault="003553A1" w:rsidP="003553A1">
      <w:pPr>
        <w:pStyle w:val="a3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устав (со всеми изменениями);</w:t>
      </w:r>
    </w:p>
    <w:p w:rsidR="003553A1" w:rsidRPr="00D22C0F" w:rsidRDefault="003553A1" w:rsidP="003553A1">
      <w:pPr>
        <w:pStyle w:val="a3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свидетельство о государственной регистрации юридического лица или лист записи Единого государственного реестра юридических лиц;</w:t>
      </w:r>
    </w:p>
    <w:p w:rsidR="003553A1" w:rsidRPr="00D22C0F" w:rsidRDefault="003553A1" w:rsidP="003553A1">
      <w:pPr>
        <w:pStyle w:val="a3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свидетельство о постановке на налоговый учет в налоговом органе;</w:t>
      </w:r>
    </w:p>
    <w:p w:rsidR="003553A1" w:rsidRPr="00D22C0F" w:rsidRDefault="003553A1" w:rsidP="003553A1">
      <w:pPr>
        <w:pStyle w:val="a3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Выписка из реестра акционеров (только для акционерных обществ). Срок документа – с даты выдачи не более 30</w:t>
      </w:r>
      <w:r>
        <w:rPr>
          <w:rFonts w:ascii="Times New Roman" w:eastAsia="Calibri" w:hAnsi="Times New Roman" w:cs="Times New Roman"/>
          <w:sz w:val="23"/>
          <w:szCs w:val="23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 xml:space="preserve">тридцати) </w:t>
      </w:r>
      <w:r w:rsidRPr="00D22C0F">
        <w:rPr>
          <w:rFonts w:ascii="Times New Roman" w:eastAsia="Calibri" w:hAnsi="Times New Roman" w:cs="Times New Roman"/>
          <w:sz w:val="23"/>
          <w:szCs w:val="23"/>
        </w:rPr>
        <w:t xml:space="preserve"> календарных</w:t>
      </w:r>
      <w:proofErr w:type="gramEnd"/>
      <w:r w:rsidRPr="00D22C0F">
        <w:rPr>
          <w:rFonts w:ascii="Times New Roman" w:eastAsia="Calibri" w:hAnsi="Times New Roman" w:cs="Times New Roman"/>
          <w:sz w:val="23"/>
          <w:szCs w:val="23"/>
        </w:rPr>
        <w:t xml:space="preserve"> дней к моменту предоставления в Банк;</w:t>
      </w:r>
    </w:p>
    <w:p w:rsidR="003553A1" w:rsidRPr="00D22C0F" w:rsidRDefault="003553A1" w:rsidP="003553A1">
      <w:pPr>
        <w:pStyle w:val="a3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документы, подтверждающие полномочия единоличного исполнительного органа (протокол/решение учредителя/участников/акционеров об избрании единоличного исполнительного органа (либо приказы вышестоящей организации)</w:t>
      </w:r>
      <w:r>
        <w:rPr>
          <w:rFonts w:ascii="Times New Roman" w:eastAsia="Calibri" w:hAnsi="Times New Roman" w:cs="Times New Roman"/>
          <w:sz w:val="23"/>
          <w:szCs w:val="23"/>
        </w:rPr>
        <w:t xml:space="preserve">/Договор </w:t>
      </w:r>
      <w:r>
        <w:rPr>
          <w:rFonts w:ascii="Times New Roman" w:hAnsi="Times New Roman"/>
          <w:sz w:val="24"/>
          <w:szCs w:val="24"/>
        </w:rPr>
        <w:t xml:space="preserve">о передаче полномочий </w:t>
      </w:r>
      <w:r w:rsidRPr="00CA79FE">
        <w:rPr>
          <w:rFonts w:ascii="Times New Roman" w:hAnsi="Times New Roman"/>
          <w:sz w:val="24"/>
          <w:szCs w:val="24"/>
        </w:rPr>
        <w:t xml:space="preserve">единоличного исполнительного органа </w:t>
      </w:r>
      <w:r>
        <w:rPr>
          <w:rFonts w:ascii="Times New Roman" w:hAnsi="Times New Roman"/>
          <w:sz w:val="24"/>
          <w:szCs w:val="24"/>
        </w:rPr>
        <w:t xml:space="preserve">управляющей организации, индивидуальному </w:t>
      </w:r>
      <w:r>
        <w:rPr>
          <w:rFonts w:ascii="Times New Roman" w:hAnsi="Times New Roman"/>
          <w:sz w:val="24"/>
          <w:szCs w:val="24"/>
        </w:rPr>
        <w:lastRenderedPageBreak/>
        <w:t>предпринимателю</w:t>
      </w:r>
      <w:r>
        <w:rPr>
          <w:rFonts w:ascii="Times New Roman" w:eastAsia="Calibri" w:hAnsi="Times New Roman" w:cs="Times New Roman"/>
          <w:sz w:val="23"/>
          <w:szCs w:val="23"/>
        </w:rPr>
        <w:t xml:space="preserve"> (в случае если полномочия единоличного исполнительного органа переданы </w:t>
      </w:r>
      <w:r>
        <w:rPr>
          <w:rFonts w:ascii="Times New Roman" w:hAnsi="Times New Roman"/>
          <w:sz w:val="24"/>
          <w:szCs w:val="24"/>
        </w:rPr>
        <w:t>управляющей организации, индивидуальному предпринимателю</w:t>
      </w:r>
      <w:r>
        <w:rPr>
          <w:rFonts w:ascii="Times New Roman" w:eastAsia="Calibri" w:hAnsi="Times New Roman" w:cs="Times New Roman"/>
          <w:sz w:val="23"/>
          <w:szCs w:val="23"/>
        </w:rPr>
        <w:t xml:space="preserve">) </w:t>
      </w:r>
      <w:r w:rsidRPr="00D22C0F">
        <w:rPr>
          <w:rFonts w:ascii="Times New Roman" w:eastAsia="Calibri" w:hAnsi="Times New Roman" w:cs="Times New Roman"/>
          <w:sz w:val="23"/>
          <w:szCs w:val="23"/>
        </w:rPr>
        <w:t>и приказ о его вступлении в должность);</w:t>
      </w:r>
    </w:p>
    <w:p w:rsidR="003553A1" w:rsidRPr="00D22C0F" w:rsidRDefault="003553A1" w:rsidP="003553A1">
      <w:pPr>
        <w:pStyle w:val="a3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 xml:space="preserve">распорядительные документы (приказ, распоряжение), подтверждающие назначение и полномочия единоличного исполнительного органа; </w:t>
      </w:r>
    </w:p>
    <w:p w:rsidR="003553A1" w:rsidRPr="00D22C0F" w:rsidRDefault="003553A1" w:rsidP="003553A1">
      <w:pPr>
        <w:pStyle w:val="a3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документы, подтверждающие полномочия членов Совета директоров</w:t>
      </w:r>
      <w:r>
        <w:rPr>
          <w:rFonts w:ascii="Times New Roman" w:eastAsia="Calibri" w:hAnsi="Times New Roman" w:cs="Times New Roman"/>
          <w:sz w:val="23"/>
          <w:szCs w:val="23"/>
        </w:rPr>
        <w:t>/Наблюдательного совета/Правления</w:t>
      </w:r>
      <w:r w:rsidRPr="00D22C0F">
        <w:rPr>
          <w:rFonts w:ascii="Times New Roman" w:eastAsia="Calibri" w:hAnsi="Times New Roman" w:cs="Times New Roman"/>
          <w:sz w:val="23"/>
          <w:szCs w:val="23"/>
        </w:rPr>
        <w:t xml:space="preserve"> юридического лица, при условии функционирования в юридическом лице Совета директоров</w:t>
      </w:r>
      <w:r>
        <w:rPr>
          <w:rFonts w:ascii="Times New Roman" w:eastAsia="Calibri" w:hAnsi="Times New Roman" w:cs="Times New Roman"/>
          <w:sz w:val="23"/>
          <w:szCs w:val="23"/>
        </w:rPr>
        <w:t>/Наблюдательного совета/Правления</w:t>
      </w:r>
      <w:r w:rsidRPr="00D22C0F">
        <w:rPr>
          <w:rFonts w:ascii="Times New Roman" w:eastAsia="Calibri" w:hAnsi="Times New Roman" w:cs="Times New Roman"/>
          <w:sz w:val="23"/>
          <w:szCs w:val="23"/>
        </w:rPr>
        <w:t xml:space="preserve"> (протокол/решение учредителя/участников/акционеров об избрании членов Совета директоров</w:t>
      </w:r>
      <w:r>
        <w:rPr>
          <w:rFonts w:ascii="Times New Roman" w:eastAsia="Calibri" w:hAnsi="Times New Roman" w:cs="Times New Roman"/>
          <w:sz w:val="23"/>
          <w:szCs w:val="23"/>
        </w:rPr>
        <w:t>/Наблюдательного совета/Правления</w:t>
      </w:r>
      <w:r w:rsidRPr="00D22C0F">
        <w:rPr>
          <w:rFonts w:ascii="Times New Roman" w:eastAsia="Calibri" w:hAnsi="Times New Roman" w:cs="Times New Roman"/>
          <w:sz w:val="23"/>
          <w:szCs w:val="23"/>
        </w:rPr>
        <w:t>;</w:t>
      </w:r>
    </w:p>
    <w:p w:rsidR="003553A1" w:rsidRPr="00D22C0F" w:rsidRDefault="003553A1" w:rsidP="003553A1">
      <w:pPr>
        <w:pStyle w:val="a3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документы, удостоверяющие личность единоличного исполнительного органа, собственников бизнеса и главного бухгалтера (при наличии);</w:t>
      </w:r>
    </w:p>
    <w:p w:rsidR="003553A1" w:rsidRPr="00D22C0F" w:rsidRDefault="003553A1" w:rsidP="003553A1">
      <w:pPr>
        <w:pStyle w:val="a3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лицензии (разрешения), выданные юридическому лицу в установленном законодательством РФ порядке на право осуществления деятельности, подлежащей лицензированию;</w:t>
      </w:r>
    </w:p>
    <w:p w:rsidR="003553A1" w:rsidRPr="00D22C0F" w:rsidRDefault="003553A1" w:rsidP="003553A1">
      <w:pPr>
        <w:pStyle w:val="a3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документы, подтверждающие присутствие по адресу регистрации юридического лица, указанному в ЕГРЮЛ его постоянно действующего органа управления, иного органа или лица, которые имеют право действовать от имени юридического лица без доверенности в виде письменного подтверждения юридического лица о том, что его постоянно действующий орган управления иной орган или лицо, имеющее право действовать от имени юридического лица без доверенности, располагаются по местонахождению (регистрации) юридического лица.</w:t>
      </w:r>
    </w:p>
    <w:p w:rsidR="003553A1" w:rsidRPr="00847A17" w:rsidRDefault="003553A1" w:rsidP="003553A1">
      <w:pPr>
        <w:pStyle w:val="a3"/>
        <w:numPr>
          <w:ilvl w:val="2"/>
          <w:numId w:val="4"/>
        </w:numPr>
        <w:ind w:left="851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C0F">
        <w:rPr>
          <w:rFonts w:ascii="Times New Roman" w:eastAsia="Calibri" w:hAnsi="Times New Roman" w:cs="Times New Roman"/>
          <w:sz w:val="23"/>
          <w:szCs w:val="23"/>
        </w:rPr>
        <w:t>Документы, необходимые для подготовки залогового заключения согласно Положению о совершении залоговых сделок.</w:t>
      </w:r>
      <w:bookmarkEnd w:id="0"/>
    </w:p>
    <w:p w:rsidR="00F20125" w:rsidRDefault="00F20125"/>
    <w:sectPr w:rsidR="00F20125" w:rsidSect="00585613">
      <w:footerReference w:type="default" r:id="rId7"/>
      <w:pgSz w:w="16838" w:h="11906" w:orient="landscape"/>
      <w:pgMar w:top="284" w:right="1134" w:bottom="568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3A1" w:rsidRDefault="003553A1" w:rsidP="003553A1">
      <w:pPr>
        <w:spacing w:after="0" w:line="240" w:lineRule="auto"/>
      </w:pPr>
      <w:r>
        <w:separator/>
      </w:r>
    </w:p>
  </w:endnote>
  <w:endnote w:type="continuationSeparator" w:id="0">
    <w:p w:rsidR="003553A1" w:rsidRDefault="003553A1" w:rsidP="0035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3851168"/>
      <w:docPartObj>
        <w:docPartGallery w:val="Page Numbers (Bottom of Page)"/>
        <w:docPartUnique/>
      </w:docPartObj>
    </w:sdtPr>
    <w:sdtEndPr/>
    <w:sdtContent>
      <w:sdt>
        <w:sdtPr>
          <w:id w:val="-1492170643"/>
          <w:docPartObj>
            <w:docPartGallery w:val="Page Numbers (Top of Page)"/>
            <w:docPartUnique/>
          </w:docPartObj>
        </w:sdtPr>
        <w:sdtEndPr/>
        <w:sdtContent>
          <w:p w:rsidR="00AD6229" w:rsidRDefault="003553A1">
            <w:pPr>
              <w:pStyle w:val="a9"/>
              <w:jc w:val="right"/>
            </w:pPr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D6229" w:rsidRDefault="003553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3A1" w:rsidRDefault="003553A1" w:rsidP="003553A1">
      <w:pPr>
        <w:spacing w:after="0" w:line="240" w:lineRule="auto"/>
      </w:pPr>
      <w:r>
        <w:separator/>
      </w:r>
    </w:p>
  </w:footnote>
  <w:footnote w:type="continuationSeparator" w:id="0">
    <w:p w:rsidR="003553A1" w:rsidRDefault="003553A1" w:rsidP="003553A1">
      <w:pPr>
        <w:spacing w:after="0" w:line="240" w:lineRule="auto"/>
      </w:pPr>
      <w:r>
        <w:continuationSeparator/>
      </w:r>
    </w:p>
  </w:footnote>
  <w:footnote w:id="1">
    <w:p w:rsidR="003553A1" w:rsidRDefault="003553A1" w:rsidP="003553A1">
      <w:pPr>
        <w:pStyle w:val="a4"/>
      </w:pPr>
      <w:r>
        <w:rPr>
          <w:rStyle w:val="a6"/>
        </w:rPr>
        <w:footnoteRef/>
      </w:r>
      <w:r>
        <w:t xml:space="preserve"> </w:t>
      </w:r>
      <w:r w:rsidRPr="000F7D8F">
        <w:rPr>
          <w:rFonts w:ascii="Times New Roman" w:hAnsi="Times New Roman" w:cs="Times New Roman"/>
        </w:rPr>
        <w:t>Перечень финансовых документов и информации с целью проведения анализа и принятия решения с кредитным риском не является исчерпывающим, в зависимости от особенностей заемщика/принципала и/или кредитуемой/гарантируемой сделки Банком могут быть запрошены также иные документы и информация.</w:t>
      </w:r>
    </w:p>
  </w:footnote>
  <w:footnote w:id="2">
    <w:p w:rsidR="003553A1" w:rsidRDefault="003553A1" w:rsidP="003553A1">
      <w:pPr>
        <w:pStyle w:val="a4"/>
      </w:pPr>
      <w:r>
        <w:rPr>
          <w:rStyle w:val="a6"/>
        </w:rPr>
        <w:footnoteRef/>
      </w:r>
      <w:r>
        <w:t xml:space="preserve"> </w:t>
      </w:r>
      <w:r w:rsidRPr="00BE2931">
        <w:rPr>
          <w:rFonts w:ascii="Times New Roman" w:hAnsi="Times New Roman" w:cs="Times New Roman"/>
        </w:rPr>
        <w:t>Предоставляется по всем Продуктам, кроме: «МСБ: Кредит на пополнение оборотных средств до 30 млн.</w:t>
      </w:r>
      <w:r>
        <w:rPr>
          <w:rFonts w:ascii="Times New Roman" w:hAnsi="Times New Roman" w:cs="Times New Roman"/>
        </w:rPr>
        <w:t xml:space="preserve"> рублей</w:t>
      </w:r>
      <w:r w:rsidRPr="00BE2931">
        <w:rPr>
          <w:rFonts w:ascii="Times New Roman" w:hAnsi="Times New Roman" w:cs="Times New Roman"/>
        </w:rPr>
        <w:t>».</w:t>
      </w:r>
    </w:p>
  </w:footnote>
  <w:footnote w:id="3">
    <w:p w:rsidR="003553A1" w:rsidRDefault="003553A1" w:rsidP="003553A1">
      <w:pPr>
        <w:pStyle w:val="a4"/>
      </w:pPr>
      <w:r>
        <w:rPr>
          <w:rStyle w:val="a6"/>
        </w:rPr>
        <w:footnoteRef/>
      </w:r>
      <w:r>
        <w:t xml:space="preserve"> </w:t>
      </w:r>
      <w:r w:rsidRPr="001F2B68">
        <w:rPr>
          <w:rFonts w:ascii="Times New Roman" w:hAnsi="Times New Roman" w:cs="Times New Roman"/>
        </w:rPr>
        <w:t>При наличии данных о ненадлежащем исполнении обязательств за последние 360 календарных дней по данным отчета БКИ.</w:t>
      </w:r>
    </w:p>
  </w:footnote>
  <w:footnote w:id="4">
    <w:p w:rsidR="003553A1" w:rsidRPr="00847A17" w:rsidRDefault="003553A1" w:rsidP="003553A1">
      <w:pPr>
        <w:pStyle w:val="a4"/>
        <w:jc w:val="both"/>
        <w:rPr>
          <w:rFonts w:ascii="Times New Roman" w:hAnsi="Times New Roman" w:cs="Times New Roman"/>
        </w:rPr>
      </w:pPr>
      <w:r w:rsidRPr="00847A17">
        <w:rPr>
          <w:rStyle w:val="a6"/>
          <w:rFonts w:ascii="Times New Roman" w:hAnsi="Times New Roman" w:cs="Times New Roman"/>
        </w:rPr>
        <w:footnoteRef/>
      </w:r>
      <w:r w:rsidRPr="00847A17">
        <w:rPr>
          <w:rFonts w:ascii="Times New Roman" w:hAnsi="Times New Roman" w:cs="Times New Roman"/>
        </w:rPr>
        <w:t xml:space="preserve"> Предоставляется, при получении заявки по продукту «МСБ: Кредит на пополнение оборотных средств до 30 млн</w:t>
      </w:r>
      <w:r>
        <w:rPr>
          <w:rFonts w:ascii="Times New Roman" w:hAnsi="Times New Roman" w:cs="Times New Roman"/>
        </w:rPr>
        <w:t xml:space="preserve"> рублей</w:t>
      </w:r>
      <w:r w:rsidRPr="00847A17">
        <w:rPr>
          <w:rFonts w:ascii="Times New Roman" w:hAnsi="Times New Roman" w:cs="Times New Roman"/>
        </w:rPr>
        <w:t>.».</w:t>
      </w:r>
    </w:p>
  </w:footnote>
  <w:footnote w:id="5">
    <w:p w:rsidR="003553A1" w:rsidRDefault="003553A1" w:rsidP="003553A1">
      <w:pPr>
        <w:pStyle w:val="a4"/>
      </w:pPr>
      <w:r>
        <w:rPr>
          <w:rStyle w:val="a6"/>
        </w:rPr>
        <w:footnoteRef/>
      </w:r>
      <w:r>
        <w:t xml:space="preserve"> </w:t>
      </w:r>
      <w:r w:rsidRPr="00BE2931">
        <w:rPr>
          <w:rFonts w:ascii="Times New Roman" w:hAnsi="Times New Roman" w:cs="Times New Roman"/>
        </w:rPr>
        <w:t>Предоставляется по всем Продуктам, кроме: «МСБ: Кредит на пополнение оборотных средств до 30 млн.</w:t>
      </w:r>
      <w:r>
        <w:rPr>
          <w:rFonts w:ascii="Times New Roman" w:hAnsi="Times New Roman" w:cs="Times New Roman"/>
        </w:rPr>
        <w:t xml:space="preserve"> рублей</w:t>
      </w:r>
      <w:r w:rsidRPr="00BE2931">
        <w:rPr>
          <w:rFonts w:ascii="Times New Roman" w:hAnsi="Times New Roman" w:cs="Times New Roman"/>
        </w:rPr>
        <w:t>».</w:t>
      </w:r>
    </w:p>
  </w:footnote>
  <w:footnote w:id="6">
    <w:p w:rsidR="003553A1" w:rsidRDefault="003553A1" w:rsidP="003553A1">
      <w:pPr>
        <w:pStyle w:val="a4"/>
      </w:pPr>
      <w:r>
        <w:rPr>
          <w:rStyle w:val="a6"/>
        </w:rPr>
        <w:footnoteRef/>
      </w:r>
      <w:r>
        <w:t xml:space="preserve"> </w:t>
      </w:r>
      <w:r w:rsidRPr="00847A17">
        <w:rPr>
          <w:rFonts w:ascii="Times New Roman" w:hAnsi="Times New Roman" w:cs="Times New Roman"/>
        </w:rPr>
        <w:t>Предоставляется, при получении заявки по продукту «МСБ: Кредит на пополнение оборотных средств до 30 млн.</w:t>
      </w:r>
      <w:r>
        <w:rPr>
          <w:rFonts w:ascii="Times New Roman" w:hAnsi="Times New Roman" w:cs="Times New Roman"/>
        </w:rPr>
        <w:t xml:space="preserve"> рублей</w:t>
      </w:r>
      <w:r w:rsidRPr="00847A17">
        <w:rPr>
          <w:rFonts w:ascii="Times New Roman" w:hAnsi="Times New Roman" w:cs="Times New Roman"/>
        </w:rPr>
        <w:t>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66699"/>
    <w:multiLevelType w:val="hybridMultilevel"/>
    <w:tmpl w:val="A8D0BB3A"/>
    <w:lvl w:ilvl="0" w:tplc="9B3495C8"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D66A25"/>
    <w:multiLevelType w:val="multilevel"/>
    <w:tmpl w:val="C01A5E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290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5080" w:hanging="72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7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9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8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0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600" w:hanging="2160"/>
      </w:pPr>
      <w:rPr>
        <w:rFonts w:hint="default"/>
        <w:b w:val="0"/>
      </w:rPr>
    </w:lvl>
  </w:abstractNum>
  <w:abstractNum w:abstractNumId="2" w15:restartNumberingAfterBreak="0">
    <w:nsid w:val="183A107A"/>
    <w:multiLevelType w:val="hybridMultilevel"/>
    <w:tmpl w:val="55D656DC"/>
    <w:lvl w:ilvl="0" w:tplc="9B3495C8"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EF6797F"/>
    <w:multiLevelType w:val="hybridMultilevel"/>
    <w:tmpl w:val="BF2A2B08"/>
    <w:lvl w:ilvl="0" w:tplc="9B3495C8"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A1"/>
    <w:rsid w:val="003553A1"/>
    <w:rsid w:val="00F2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1C1B8-C6B7-4BDF-ACBB-C49BD68F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3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3A1"/>
    <w:pPr>
      <w:ind w:left="720"/>
      <w:contextualSpacing/>
    </w:pPr>
  </w:style>
  <w:style w:type="paragraph" w:styleId="a4">
    <w:name w:val="footnote text"/>
    <w:basedOn w:val="a"/>
    <w:link w:val="a5"/>
    <w:unhideWhenUsed/>
    <w:rsid w:val="003553A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3553A1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nhideWhenUsed/>
    <w:rsid w:val="003553A1"/>
    <w:rPr>
      <w:vertAlign w:val="superscript"/>
    </w:rPr>
  </w:style>
  <w:style w:type="paragraph" w:styleId="a7">
    <w:name w:val="header"/>
    <w:basedOn w:val="a"/>
    <w:link w:val="a8"/>
    <w:uiPriority w:val="99"/>
    <w:rsid w:val="003553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55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5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53A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 ??? ?????????????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Боргенц Татьяна Николаевна</dc:creator>
  <cp:keywords/>
  <dc:description/>
  <cp:lastModifiedBy>Боргенц Татьяна Николаевна</cp:lastModifiedBy>
  <cp:revision>1</cp:revision>
  <dcterms:created xsi:type="dcterms:W3CDTF">2023-09-14T14:52:00Z</dcterms:created>
  <dcterms:modified xsi:type="dcterms:W3CDTF">2023-09-14T14:53:00Z</dcterms:modified>
</cp:coreProperties>
</file>